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8568"/>
            <w:vAlign w:val="center"/>
            <w:tcMar>
              <w:top w:w="0" w:type="dxa"/>
              <w:bottom w:w="15" w:type="dxa"/>
              <w:left w:w="0" w:type="dxa"/>
              <w:right w:w="60" w:type="dxa"/>
            </w:tcMar>
            <w:shd w:val="clear" w:color="auto" w:fill="FFFFFF"/>
            <w:tcBorders>
              <w:top w:val="none" w:sz="4" w:space="0" w:color="CBD5E1"/>
              <w:left w:val="none" w:sz="4" w:space="0" w:color="CBD5E1"/>
              <w:bottom w:val="none" w:sz="4" w:space="0" w:color="CBD5E1"/>
              <w:right w:val="none" w:sz="4" w:space="0" w:color="CBD5E1"/>
            </w:tcBorders>
          </w:tcPr>
          <w:p>
            <w:pPr>
              <w:spacing w:before="0" w:after="30"/>
            </w:pPr>
            <w:r>
              <w:rPr>
                <w:rFonts w:ascii="Arial" w:hAnsi="Arial"/>
                <w:b/>
                <w:color w:val="0F172A"/>
                <w:sz w:val="42"/>
              </w:rPr>
              <w:t>DESIREE HELLENE</w:t>
            </w:r>
          </w:p>
          <w:p>
            <w:pPr>
              <w:spacing w:before="0" w:after="50" w:line="276" w:lineRule="auto"/>
            </w:pPr>
            <w:r>
              <w:rPr>
                <w:rFonts w:ascii="Arial" w:hAnsi="Arial"/>
                <w:b/>
                <w:color w:val="B45309"/>
                <w:sz w:val="20"/>
              </w:rPr>
              <w:t>EXECUTIVE DATA &amp; BUSINESS TRANSFORMATION LEADER</w:t>
            </w:r>
          </w:p>
          <w:p>
            <w:pPr>
              <w:spacing w:before="0" w:after="70" w:line="283" w:lineRule="auto"/>
            </w:pPr>
            <w:r>
              <w:rPr>
                <w:rFonts w:ascii="Calibri" w:hAnsi="Calibri"/>
                <w:color w:val="475569"/>
                <w:sz w:val="16"/>
              </w:rPr>
              <w:t>Establishing Data Culture &amp; Governance in Enterprise Organizations | Data Strategy &amp; Governance | Driving Business Transformation through Enterprise Data | Building High-Performing Data Teams | Delivering Predictive Insights for Executive Decision-Making | AI Integration to Accelerate Business Growth</w:t>
            </w:r>
          </w:p>
          <w:p>
            <w:pPr>
              <w:spacing w:before="40" w:after="0" w:line="276" w:lineRule="auto"/>
            </w:pPr>
            <w:r/>
            <w:r>
              <w:rPr>
                <w:rFonts w:ascii="Calibri" w:hAnsi="Calibri"/>
                <w:b/>
                <w:color w:val="475569"/>
                <w:sz w:val="16"/>
              </w:rPr>
              <w:t>Jakarta, Indonesia</w:t>
            </w:r>
            <w:r>
              <w:rPr>
                <w:rFonts w:ascii="Calibri" w:hAnsi="Calibri"/>
                <w:color w:val="CBD5E1"/>
                <w:sz w:val="16"/>
              </w:rPr>
              <w:t xml:space="preserve">   •   </w:t>
            </w:r>
            <w:r>
              <w:rPr>
                <w:rFonts w:ascii="Calibri" w:hAnsi="Calibri"/>
                <w:color w:val="475569"/>
                <w:sz w:val="16"/>
              </w:rPr>
              <w:t>+62 811-1611-368</w:t>
            </w:r>
            <w:r>
              <w:rPr>
                <w:rFonts w:ascii="Calibri" w:hAnsi="Calibri"/>
                <w:color w:val="CBD5E1"/>
                <w:sz w:val="16"/>
              </w:rPr>
              <w:t xml:space="preserve">   •   </w:t>
            </w:r>
            <w:hyperlink r:id="rId11">
              <w:r>
                <w:rPr>
                  <w:color w:val="0F172A"/>
                  <w:sz w:val="16"/>
                  <w:rFonts w:ascii="Calibri" w:hAnsi="Calibri"/>
                </w:rPr>
                <w:t>desireehellene@gmail.com</w:t>
              </w:r>
            </w:hyperlink>
            <w:r>
              <w:rPr>
                <w:rFonts w:ascii="Calibri" w:hAnsi="Calibri"/>
                <w:color w:val="CBD5E1"/>
                <w:sz w:val="16"/>
              </w:rPr>
              <w:t xml:space="preserve">   •   </w:t>
            </w:r>
            <w:hyperlink r:id="rId12">
              <w:r>
                <w:rPr>
                  <w:color w:val="B45309"/>
                  <w:sz w:val="16"/>
                  <w:rFonts w:ascii="Calibri" w:hAnsi="Calibri"/>
                  <w:b/>
                </w:rPr>
                <w:t>desireehellene.com ↗</w:t>
              </w:r>
            </w:hyperlink>
            <w:r>
              <w:rPr>
                <w:rFonts w:ascii="Calibri" w:hAnsi="Calibri"/>
                <w:color w:val="CBD5E1"/>
                <w:sz w:val="16"/>
              </w:rPr>
              <w:t xml:space="preserve">   •   </w:t>
            </w:r>
            <w:hyperlink r:id="rId13">
              <w:r>
                <w:rPr>
                  <w:color w:val="0F172A"/>
                  <w:sz w:val="16"/>
                  <w:rFonts w:ascii="Calibri" w:hAnsi="Calibri"/>
                </w:rPr>
                <w:t>in/desiree-hellene ↗</w:t>
              </w:r>
            </w:hyperlink>
          </w:p>
        </w:tc>
        <w:tc>
          <w:tcPr>
            <w:tcW w:type="dxa" w:w="1613"/>
            <w:vAlign w:val="center"/>
            <w:tcMar>
              <w:top w:w="0" w:type="dxa"/>
              <w:bottom w:w="15" w:type="dxa"/>
              <w:left w:w="30" w:type="dxa"/>
              <w:right w:w="0" w:type="dxa"/>
            </w:tcMar>
            <w:shd w:val="clear" w:color="auto" w:fill="FFFFFF"/>
            <w:tcBorders>
              <w:top w:val="none" w:sz="4" w:space="0" w:color="CBD5E1"/>
              <w:left w:val="none" w:sz="4" w:space="0" w:color="CBD5E1"/>
              <w:bottom w:val="none" w:sz="4" w:space="0" w:color="CBD5E1"/>
              <w:right w:val="none" w:sz="4" w:space="0" w:color="CBD5E1"/>
            </w:tcBorders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841248" cy="84124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siree_Hellene_Executive_Avatar_Circular_Perfec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6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EXECUTIVE SUMMARY</w:t>
      </w:r>
    </w:p>
    <w:p>
      <w:pPr>
        <w:spacing w:before="0" w:after="100" w:line="283" w:lineRule="auto"/>
      </w:pPr>
      <w:r>
        <w:rPr>
          <w:rFonts w:ascii="Calibri" w:hAnsi="Calibri"/>
          <w:color w:val="334155"/>
          <w:sz w:val="19"/>
        </w:rPr>
        <w:t xml:space="preserve">Senior Data and Technology Leader with </w:t>
      </w:r>
      <w:r>
        <w:rPr>
          <w:rFonts w:ascii="Calibri" w:hAnsi="Calibri"/>
          <w:b/>
          <w:color w:val="0F172A"/>
          <w:sz w:val="19"/>
        </w:rPr>
        <w:t>over 15 years of hands-on experience</w:t>
      </w:r>
      <w:r>
        <w:rPr>
          <w:rFonts w:ascii="Calibri" w:hAnsi="Calibri"/>
          <w:color w:val="334155"/>
          <w:sz w:val="19"/>
        </w:rPr>
        <w:t xml:space="preserve"> helping organizations make smarter decisions, modernize legacy systems, and build high-trust data cultures. Known for connecting executive vision with practical, ground-level execution—from helping manufacturing plants predict maintenance needs and cut waste, to leading nationwide survey studies of 750,000 respondents delivered in days with zero data defects. Proven success spearheading paper-to-digital transformations that eliminated 75% of operational delays, securing corporate ISO 9001:2015 certification for Data Management, and establishing practical data literacy and AI learning programs for thousands of employees. A passionate mentor and certified coach dedicated to building collaborative, high-retention engineering teams (8.5/10 satisfaction index) where people thrive and take pride in their work.</w:t>
      </w:r>
    </w:p>
    <w:p>
      <w:pPr>
        <w:spacing w:before="120" w:after="8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EXECUTIVE COMPETENCIES &amp; STRATEGIC DOMAINS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E2E8F0"/>
              <w:left w:val="single" w:sz="16" w:space="0" w:color="0F172A"/>
              <w:bottom w:val="single" w:sz="4" w:space="0" w:color="E2E8F0"/>
              <w:right w:val="single" w:sz="4" w:space="0" w:color="E2E8F0"/>
            </w:tcBorders>
          </w:tcPr>
          <w:p>
            <w:pPr>
              <w:spacing w:before="0" w:after="20" w:line="276" w:lineRule="auto"/>
            </w:pPr>
            <w:r>
              <w:rPr>
                <w:rFonts w:ascii="Calibri" w:hAnsi="Calibri"/>
                <w:b/>
                <w:color w:val="0F172A"/>
                <w:sz w:val="18"/>
              </w:rPr>
              <w:t>• Data Governance &amp; Quality Standards (ISO 9001)</w:t>
              <w:br/>
            </w:r>
            <w:r>
              <w:rPr>
                <w:rFonts w:ascii="Calibri" w:hAnsi="Calibri"/>
                <w:color w:val="475569"/>
                <w:sz w:val="17"/>
              </w:rPr>
              <w:t>Establishing clear, practical SOPs for collecting, verifying, and organizing data so teams across departments can trust their numbers.</w:t>
            </w:r>
          </w:p>
        </w:tc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E2E8F0"/>
              <w:left w:val="single" w:sz="16" w:space="0" w:color="0F172A"/>
              <w:bottom w:val="single" w:sz="4" w:space="0" w:color="E2E8F0"/>
              <w:right w:val="single" w:sz="4" w:space="0" w:color="E2E8F0"/>
            </w:tcBorders>
          </w:tcPr>
          <w:p>
            <w:pPr>
              <w:spacing w:before="0" w:after="20" w:line="276" w:lineRule="auto"/>
            </w:pPr>
            <w:r>
              <w:rPr>
                <w:rFonts w:ascii="Calibri" w:hAnsi="Calibri"/>
                <w:b/>
                <w:color w:val="0F172A"/>
                <w:sz w:val="18"/>
              </w:rPr>
              <w:t>• Modern Platforms &amp; Pragmatic AI</w:t>
              <w:br/>
            </w:r>
            <w:r>
              <w:rPr>
                <w:rFonts w:ascii="Calibri" w:hAnsi="Calibri"/>
                <w:color w:val="475569"/>
                <w:sz w:val="17"/>
              </w:rPr>
              <w:t>Designing realistic roadmaps for cloud data platforms and machine learning—focusing on solving everyday operational bottlenecks rather than chasing hype.</w:t>
            </w:r>
          </w:p>
        </w:tc>
      </w:tr>
      <w:tr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E2E8F0"/>
              <w:left w:val="single" w:sz="16" w:space="0" w:color="0F172A"/>
              <w:bottom w:val="single" w:sz="4" w:space="0" w:color="E2E8F0"/>
              <w:right w:val="single" w:sz="4" w:space="0" w:color="E2E8F0"/>
            </w:tcBorders>
          </w:tcPr>
          <w:p>
            <w:pPr>
              <w:spacing w:before="0" w:after="20" w:line="276" w:lineRule="auto"/>
            </w:pPr>
            <w:r>
              <w:rPr>
                <w:rFonts w:ascii="Calibri" w:hAnsi="Calibri"/>
                <w:b/>
                <w:color w:val="0F172A"/>
                <w:sz w:val="18"/>
              </w:rPr>
              <w:t>• Reliable Analytics &amp; Reporting</w:t>
              <w:br/>
            </w:r>
            <w:r>
              <w:rPr>
                <w:rFonts w:ascii="Calibri" w:hAnsi="Calibri"/>
                <w:color w:val="475569"/>
                <w:sz w:val="17"/>
              </w:rPr>
              <w:t>Building dependable, automated reporting pipelines and dashboards that deliver timely numbers to leadership under strict deadlines.</w:t>
            </w:r>
          </w:p>
        </w:tc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E2E8F0"/>
              <w:left w:val="single" w:sz="16" w:space="0" w:color="0F172A"/>
              <w:bottom w:val="single" w:sz="4" w:space="0" w:color="E2E8F0"/>
              <w:right w:val="single" w:sz="4" w:space="0" w:color="E2E8F0"/>
            </w:tcBorders>
          </w:tcPr>
          <w:p>
            <w:pPr>
              <w:spacing w:before="0" w:after="20" w:line="276" w:lineRule="auto"/>
            </w:pPr>
            <w:r>
              <w:rPr>
                <w:rFonts w:ascii="Calibri" w:hAnsi="Calibri"/>
                <w:b/>
                <w:color w:val="0F172A"/>
                <w:sz w:val="18"/>
              </w:rPr>
              <w:t>• Digital Process Modernization</w:t>
              <w:br/>
            </w:r>
            <w:r>
              <w:rPr>
                <w:rFonts w:ascii="Calibri" w:hAnsi="Calibri"/>
                <w:color w:val="475569"/>
                <w:sz w:val="17"/>
              </w:rPr>
              <w:t>Transitioning paper-heavy, manual operations into smooth digital systems—cutting out 60% of processing time and removing workflow friction.</w:t>
            </w:r>
          </w:p>
        </w:tc>
      </w:tr>
      <w:tr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E2E8F0"/>
              <w:left w:val="single" w:sz="16" w:space="0" w:color="0F172A"/>
              <w:bottom w:val="single" w:sz="4" w:space="0" w:color="E2E8F0"/>
              <w:right w:val="single" w:sz="4" w:space="0" w:color="E2E8F0"/>
            </w:tcBorders>
          </w:tcPr>
          <w:p>
            <w:pPr>
              <w:spacing w:before="0" w:after="20" w:line="276" w:lineRule="auto"/>
            </w:pPr>
            <w:r>
              <w:rPr>
                <w:rFonts w:ascii="Calibri" w:hAnsi="Calibri"/>
                <w:b/>
                <w:color w:val="0F172A"/>
                <w:sz w:val="18"/>
              </w:rPr>
              <w:t>• Operations &amp; Supply Chain Improvements</w:t>
              <w:br/>
            </w:r>
            <w:r>
              <w:rPr>
                <w:rFonts w:ascii="Calibri" w:hAnsi="Calibri"/>
                <w:color w:val="475569"/>
                <w:sz w:val="17"/>
              </w:rPr>
              <w:t>Applying practical data modeling to optimize factory maintenance, balance warehouse inventory, and reduce empty freight trips to protect working capital.</w:t>
            </w:r>
          </w:p>
        </w:tc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E2E8F0"/>
              <w:left w:val="single" w:sz="16" w:space="0" w:color="0F172A"/>
              <w:bottom w:val="single" w:sz="4" w:space="0" w:color="E2E8F0"/>
              <w:right w:val="single" w:sz="4" w:space="0" w:color="E2E8F0"/>
            </w:tcBorders>
          </w:tcPr>
          <w:p>
            <w:pPr>
              <w:spacing w:before="0" w:after="20" w:line="276" w:lineRule="auto"/>
            </w:pPr>
            <w:r>
              <w:rPr>
                <w:rFonts w:ascii="Calibri" w:hAnsi="Calibri"/>
                <w:b/>
                <w:color w:val="0F172A"/>
                <w:sz w:val="18"/>
              </w:rPr>
              <w:t>• People Leadership &amp; Data Culture</w:t>
              <w:br/>
            </w:r>
            <w:r>
              <w:rPr>
                <w:rFonts w:ascii="Calibri" w:hAnsi="Calibri"/>
                <w:color w:val="475569"/>
                <w:sz w:val="17"/>
              </w:rPr>
              <w:t>Certified executive coach with a deep commitment to developing technical talent and teaching non-technical teams how to use data with confidence.</w:t>
            </w:r>
          </w:p>
        </w:tc>
      </w:tr>
    </w:tbl>
    <w:p>
      <w:pPr>
        <w:spacing w:before="140" w:after="6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EXECUTIVE PROFESSIONAL EXPERIENCE</w:t>
      </w:r>
    </w:p>
    <w:p>
      <w:pPr>
        <w:spacing w:before="80" w:after="30"/>
      </w:pPr>
      <w:r>
        <w:rPr>
          <w:rFonts w:ascii="Arial" w:hAnsi="Arial"/>
          <w:b/>
          <w:color w:val="0F172A"/>
          <w:sz w:val="20"/>
        </w:rPr>
        <w:t>Research &amp; Data Analytics Lead</w:t>
      </w:r>
      <w:r>
        <w:rPr>
          <w:b/>
          <w:color w:val="B45309"/>
        </w:rPr>
        <w:t xml:space="preserve">   |   </w:t>
      </w:r>
      <w:r>
        <w:rPr>
          <w:rFonts w:ascii="Arial" w:hAnsi="Arial"/>
          <w:b/>
          <w:color w:val="B45309"/>
          <w:sz w:val="19"/>
        </w:rPr>
        <w:t>KAPAL API GROUP</w:t>
      </w:r>
      <w:r>
        <w:rPr>
          <w:rFonts w:ascii="Calibri" w:hAnsi="Calibri"/>
          <w:color w:val="64748B"/>
          <w:sz w:val="18"/>
        </w:rPr>
        <w:t xml:space="preserve">  (2023 – Present)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Company-Wide Data Strategy &amp; Governance: </w:t>
      </w:r>
      <w:r>
        <w:rPr>
          <w:rFonts w:ascii="Calibri" w:hAnsi="Calibri"/>
          <w:color w:val="334155"/>
          <w:sz w:val="18"/>
        </w:rPr>
        <w:t>Formulated and led the enterprise data roadmap across manufacturing plants, supply chain, finance, and marketing—creating a single, trusted source of truth for cross-departmental decision making.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Enterprise Data Maturity Assessment: </w:t>
      </w:r>
      <w:r>
        <w:rPr>
          <w:rFonts w:ascii="Calibri" w:hAnsi="Calibri"/>
          <w:color w:val="334155"/>
          <w:sz w:val="18"/>
        </w:rPr>
        <w:t>Conducted a comprehensive maturity assessment across data, talent, technology, and infrastructure to build clear, realistic transformation roadmaps for group leadership.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5-Level Data Literacy &amp; AI Curriculum: </w:t>
      </w:r>
      <w:r>
        <w:rPr>
          <w:rFonts w:ascii="Calibri" w:hAnsi="Calibri"/>
          <w:color w:val="334155"/>
          <w:sz w:val="18"/>
        </w:rPr>
        <w:t>Designed and launched an 80+ hour blended learning program across 5 skill tiers (Aware, Proficient, Savvy, Driven, Transformed), helping analysts, engineers, and division heads apply practical data and AI in their daily roles.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Manufacturing &amp; Predictive Maintenance: </w:t>
      </w:r>
      <w:r>
        <w:rPr>
          <w:rFonts w:ascii="Calibri" w:hAnsi="Calibri"/>
          <w:color w:val="334155"/>
          <w:sz w:val="18"/>
        </w:rPr>
        <w:t>Introduced machine learning models on factory packaging lines to anticipate equipment wear and schedule preventative maintenance; developed digital twin models for extraction processes to safeguard product flavor profiles while lowering trial costs.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Supply Chain &amp; Inventory Optimization: </w:t>
      </w:r>
      <w:r>
        <w:rPr>
          <w:rFonts w:ascii="Calibri" w:hAnsi="Calibri"/>
          <w:color w:val="334155"/>
          <w:sz w:val="18"/>
        </w:rPr>
        <w:t>Built inventory holding cost simulation models to prevent warehouse overloading, and established fleet GPS tracking models that reduced empty return trips from 15–20% monthly.</w:t>
      </w:r>
    </w:p>
    <w:p>
      <w:pPr>
        <w:pStyle w:val="ListBullet"/>
        <w:spacing w:before="0" w:after="40" w:line="276" w:lineRule="auto"/>
      </w:pPr>
      <w:r>
        <w:rPr>
          <w:rFonts w:ascii="Calibri" w:hAnsi="Calibri"/>
          <w:b/>
          <w:color w:val="0F172A"/>
          <w:sz w:val="18"/>
        </w:rPr>
        <w:t xml:space="preserve">Commercial Pricing &amp; Financial Analysis: </w:t>
      </w:r>
      <w:r>
        <w:rPr>
          <w:rFonts w:ascii="Calibri" w:hAnsi="Calibri"/>
          <w:color w:val="334155"/>
          <w:sz w:val="18"/>
        </w:rPr>
        <w:t>Analyzed outlet transaction patterns using clustering algorithms to establish fair, tiered commercial pricing, and supported export financing models utilizing government credit facilities to optimize borrowing costs.</w:t>
      </w:r>
    </w:p>
    <w:p>
      <w:pPr>
        <w:spacing w:before="100" w:after="30"/>
      </w:pPr>
      <w:r>
        <w:rPr>
          <w:rFonts w:ascii="Arial" w:hAnsi="Arial"/>
          <w:b/>
          <w:color w:val="0F172A"/>
          <w:sz w:val="20"/>
        </w:rPr>
        <w:t>Head of Data Management</w:t>
      </w:r>
      <w:r>
        <w:rPr>
          <w:b/>
          <w:color w:val="B45309"/>
        </w:rPr>
        <w:t xml:space="preserve">   |   </w:t>
      </w:r>
      <w:r>
        <w:rPr>
          <w:rFonts w:ascii="Arial" w:hAnsi="Arial"/>
          <w:b/>
          <w:color w:val="B45309"/>
          <w:sz w:val="19"/>
        </w:rPr>
        <w:t>KANTAR</w:t>
      </w:r>
      <w:r>
        <w:rPr>
          <w:rFonts w:ascii="Calibri" w:hAnsi="Calibri"/>
          <w:color w:val="64748B"/>
          <w:sz w:val="18"/>
        </w:rPr>
        <w:t xml:space="preserve">  (2015 – 2022)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Nationwide Mega-Study Data Operations: </w:t>
      </w:r>
      <w:r>
        <w:rPr>
          <w:rFonts w:ascii="Calibri" w:hAnsi="Calibri"/>
          <w:color w:val="334155"/>
          <w:sz w:val="18"/>
        </w:rPr>
        <w:t>Directed quantitative data operations for a major government program surveying 750,000 respondents across 30 provinces and 250 cities—delivering interactive dashboards to stakeholders in just 3 to 10 days with zero data defects.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Enterprise Digital Process Shift: </w:t>
      </w:r>
      <w:r>
        <w:rPr>
          <w:rFonts w:ascii="Calibri" w:hAnsi="Calibri"/>
          <w:color w:val="334155"/>
          <w:sz w:val="18"/>
        </w:rPr>
        <w:t>Led the organizational shift from paper questionnaires to mobile and online survey tools, cutting manual processing time by 60% and eliminating 75% of repetitive administrative tasks.</w:t>
      </w:r>
    </w:p>
    <w:p>
      <w:pPr>
        <w:pStyle w:val="ListBullet"/>
        <w:spacing w:before="0" w:after="36" w:line="276" w:lineRule="auto"/>
      </w:pPr>
      <w:r>
        <w:rPr>
          <w:rFonts w:ascii="Calibri" w:hAnsi="Calibri"/>
          <w:b/>
          <w:color w:val="0F172A"/>
          <w:sz w:val="18"/>
        </w:rPr>
        <w:t xml:space="preserve">Cross-Departmental Data Integration: </w:t>
      </w:r>
      <w:r>
        <w:rPr>
          <w:rFonts w:ascii="Calibri" w:hAnsi="Calibri"/>
          <w:color w:val="334155"/>
          <w:sz w:val="18"/>
        </w:rPr>
        <w:t>Connected field operations, data processing, and accounting workflows into a cohesive pipeline, accelerating project closeouts and vendor payouts by 60%.</w:t>
      </w:r>
    </w:p>
    <w:p>
      <w:pPr>
        <w:pStyle w:val="ListBullet"/>
        <w:spacing w:before="0" w:after="40" w:line="276" w:lineRule="auto"/>
      </w:pPr>
      <w:r>
        <w:rPr>
          <w:rFonts w:ascii="Calibri" w:hAnsi="Calibri"/>
          <w:b/>
          <w:color w:val="0F172A"/>
          <w:sz w:val="18"/>
        </w:rPr>
        <w:t xml:space="preserve">High-Retention Engineering Team Culture: </w:t>
      </w:r>
      <w:r>
        <w:rPr>
          <w:rFonts w:ascii="Calibri" w:hAnsi="Calibri"/>
          <w:color w:val="334155"/>
          <w:sz w:val="18"/>
        </w:rPr>
        <w:t>Created structured learning paths and capability rubrics for technical staff, cultivating an elite engineering team with an 8.5/10 internal satisfaction rating and over 5-year average retention among senior staff.</w:t>
      </w:r>
    </w:p>
    <w:p>
      <w:r>
        <w:br w:type="page"/>
      </w:r>
    </w:p>
    <w:p>
      <w:pPr>
        <w:spacing w:before="0" w:after="12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6"/>
        </w:rPr>
        <w:t>DESIREE HELLENE</w:t>
      </w:r>
      <w:r>
        <w:rPr>
          <w:b/>
          <w:color w:val="B45309"/>
        </w:rPr>
        <w:t xml:space="preserve">   |   </w:t>
      </w:r>
      <w:r>
        <w:rPr>
          <w:rFonts w:ascii="Arial" w:hAnsi="Arial"/>
          <w:b/>
          <w:color w:val="B45309"/>
          <w:sz w:val="19"/>
        </w:rPr>
        <w:t>EXECUTIVE DATA &amp; BUSINESS TRANSFORMATION LEADER</w:t>
      </w:r>
    </w:p>
    <w:p>
      <w:pPr>
        <w:spacing w:before="100" w:after="8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PROFESSIONAL EXPERIENCE (CONTINUED)</w:t>
      </w:r>
    </w:p>
    <w:p>
      <w:pPr>
        <w:spacing w:before="100" w:after="30"/>
      </w:pPr>
      <w:r>
        <w:rPr>
          <w:rFonts w:ascii="Arial" w:hAnsi="Arial"/>
          <w:b/>
          <w:color w:val="0F172A"/>
          <w:sz w:val="20"/>
        </w:rPr>
        <w:t>Senior Data Manager</w:t>
      </w:r>
      <w:r>
        <w:rPr>
          <w:b/>
          <w:color w:val="B45309"/>
        </w:rPr>
        <w:t xml:space="preserve">   |   </w:t>
      </w:r>
      <w:r>
        <w:rPr>
          <w:rFonts w:ascii="Arial" w:hAnsi="Arial"/>
          <w:b/>
          <w:color w:val="B45309"/>
          <w:sz w:val="19"/>
        </w:rPr>
        <w:t>KANTAR</w:t>
      </w:r>
      <w:r>
        <w:rPr>
          <w:rFonts w:ascii="Calibri" w:hAnsi="Calibri"/>
          <w:color w:val="64748B"/>
          <w:sz w:val="18"/>
        </w:rPr>
        <w:t xml:space="preserve">  (2010 – 2015)</w:t>
      </w:r>
    </w:p>
    <w:p>
      <w:pPr>
        <w:pStyle w:val="ListBullet"/>
        <w:spacing w:before="0" w:after="50" w:line="283" w:lineRule="auto"/>
      </w:pPr>
      <w:r>
        <w:rPr>
          <w:rFonts w:ascii="Calibri" w:hAnsi="Calibri"/>
          <w:b/>
          <w:color w:val="0F172A"/>
          <w:sz w:val="19"/>
        </w:rPr>
        <w:t xml:space="preserve">ISO 9001:2015 Certification Leadership: </w:t>
      </w:r>
      <w:r>
        <w:rPr>
          <w:rFonts w:ascii="Calibri" w:hAnsi="Calibri"/>
          <w:color w:val="334155"/>
          <w:sz w:val="19"/>
        </w:rPr>
        <w:t>Spearheaded Kantar's quality management certification for data operations, authoring standard procedures for data capture, cleaning, verification, and long-term archiving.</w:t>
      </w:r>
    </w:p>
    <w:p>
      <w:pPr>
        <w:pStyle w:val="ListBullet"/>
        <w:spacing w:before="0" w:after="50" w:line="283" w:lineRule="auto"/>
      </w:pPr>
      <w:r>
        <w:rPr>
          <w:rFonts w:ascii="Calibri" w:hAnsi="Calibri"/>
          <w:b/>
          <w:color w:val="0F172A"/>
          <w:sz w:val="19"/>
        </w:rPr>
        <w:t xml:space="preserve">Automated Data Transformations: </w:t>
      </w:r>
      <w:r>
        <w:rPr>
          <w:rFonts w:ascii="Calibri" w:hAnsi="Calibri"/>
          <w:color w:val="334155"/>
          <w:sz w:val="19"/>
        </w:rPr>
        <w:t>Built standardized calculation templates and automated formulas for recurring client research projects, cutting standard client delivery turnaround in half.</w:t>
      </w:r>
    </w:p>
    <w:p>
      <w:pPr>
        <w:pStyle w:val="ListBullet"/>
        <w:spacing w:before="0" w:after="100" w:line="283" w:lineRule="auto"/>
      </w:pPr>
      <w:r>
        <w:rPr>
          <w:rFonts w:ascii="Calibri" w:hAnsi="Calibri"/>
          <w:b/>
          <w:color w:val="0F172A"/>
          <w:sz w:val="19"/>
        </w:rPr>
        <w:t xml:space="preserve">Analytics &amp; Data Security Protocols: </w:t>
      </w:r>
      <w:r>
        <w:rPr>
          <w:rFonts w:ascii="Calibri" w:hAnsi="Calibri"/>
          <w:color w:val="334155"/>
          <w:sz w:val="19"/>
        </w:rPr>
        <w:t>Established clear visualization guidelines bridging research consultants and data programmers, and implemented secure data storage protocols to protect sensitive commercial records.</w:t>
      </w:r>
    </w:p>
    <w:p>
      <w:pPr>
        <w:spacing w:before="120" w:after="30"/>
      </w:pPr>
      <w:r>
        <w:rPr>
          <w:rFonts w:ascii="Arial" w:hAnsi="Arial"/>
          <w:b/>
          <w:color w:val="0F172A"/>
          <w:sz w:val="20"/>
        </w:rPr>
        <w:t>Data Manager</w:t>
      </w:r>
      <w:r>
        <w:rPr>
          <w:b/>
          <w:color w:val="B45309"/>
        </w:rPr>
        <w:t xml:space="preserve">   |   </w:t>
      </w:r>
      <w:r>
        <w:rPr>
          <w:rFonts w:ascii="Arial" w:hAnsi="Arial"/>
          <w:b/>
          <w:color w:val="B45309"/>
          <w:sz w:val="19"/>
        </w:rPr>
        <w:t>KANTAR (TNS)</w:t>
      </w:r>
      <w:r>
        <w:rPr>
          <w:rFonts w:ascii="Calibri" w:hAnsi="Calibri"/>
          <w:color w:val="64748B"/>
          <w:sz w:val="18"/>
        </w:rPr>
        <w:t xml:space="preserve">  (2005 – 2010)</w:t>
      </w:r>
    </w:p>
    <w:p>
      <w:pPr>
        <w:pStyle w:val="ListBullet"/>
        <w:spacing w:before="0" w:after="50" w:line="283" w:lineRule="auto"/>
      </w:pPr>
      <w:r>
        <w:rPr>
          <w:rFonts w:ascii="Calibri" w:hAnsi="Calibri"/>
          <w:b/>
          <w:color w:val="0F172A"/>
          <w:sz w:val="19"/>
        </w:rPr>
        <w:t xml:space="preserve">Data Expert Unit Commercial Growth: </w:t>
      </w:r>
      <w:r>
        <w:rPr>
          <w:rFonts w:ascii="Calibri" w:hAnsi="Calibri"/>
          <w:color w:val="334155"/>
          <w:sz w:val="19"/>
        </w:rPr>
        <w:t>Recruited, trained, and mentored the specialized Data Expert team, supporting business development efforts that drove 10%–20% annual revenue growth.</w:t>
      </w:r>
    </w:p>
    <w:p>
      <w:pPr>
        <w:pStyle w:val="ListBullet"/>
        <w:spacing w:before="0" w:after="50" w:line="283" w:lineRule="auto"/>
      </w:pPr>
      <w:r>
        <w:rPr>
          <w:rFonts w:ascii="Calibri" w:hAnsi="Calibri"/>
          <w:b/>
          <w:color w:val="0F172A"/>
          <w:sz w:val="19"/>
        </w:rPr>
        <w:t xml:space="preserve">High-Velocity Multi-Project Delivery: </w:t>
      </w:r>
      <w:r>
        <w:rPr>
          <w:rFonts w:ascii="Calibri" w:hAnsi="Calibri"/>
          <w:color w:val="334155"/>
          <w:sz w:val="19"/>
        </w:rPr>
        <w:t>Managed and delivered roughly 50 complex market research analytics studies per month with 100% on-time delivery and strict adherence to quality standards.</w:t>
      </w:r>
    </w:p>
    <w:p>
      <w:pPr>
        <w:pStyle w:val="ListBullet"/>
        <w:spacing w:before="0" w:after="100" w:line="283" w:lineRule="auto"/>
      </w:pPr>
      <w:r>
        <w:rPr>
          <w:rFonts w:ascii="Calibri" w:hAnsi="Calibri"/>
          <w:b/>
          <w:color w:val="0F172A"/>
          <w:sz w:val="19"/>
        </w:rPr>
        <w:t xml:space="preserve">Regional Technical Committee: </w:t>
      </w:r>
      <w:r>
        <w:rPr>
          <w:rFonts w:ascii="Calibri" w:hAnsi="Calibri"/>
          <w:color w:val="334155"/>
          <w:sz w:val="19"/>
        </w:rPr>
        <w:t>Represented Indonesia on the regional technical committee, leading cross-border data management initiatives for multinational healthcare and energy clients in Malaysia, Thailand, and the Philippines.</w:t>
      </w:r>
    </w:p>
    <w:p>
      <w:pPr>
        <w:spacing w:before="120" w:after="30"/>
      </w:pPr>
      <w:r>
        <w:rPr>
          <w:rFonts w:ascii="Arial" w:hAnsi="Arial"/>
          <w:b/>
          <w:color w:val="0F172A"/>
          <w:sz w:val="20"/>
        </w:rPr>
        <w:t>Assistant Data Manager &amp; Senior Data Controller</w:t>
      </w:r>
      <w:r>
        <w:rPr>
          <w:b/>
          <w:color w:val="B45309"/>
        </w:rPr>
        <w:t xml:space="preserve">   |   </w:t>
      </w:r>
      <w:r>
        <w:rPr>
          <w:rFonts w:ascii="Arial" w:hAnsi="Arial"/>
          <w:b/>
          <w:color w:val="B45309"/>
          <w:sz w:val="19"/>
        </w:rPr>
        <w:t>SYNOVATE</w:t>
      </w:r>
      <w:r>
        <w:rPr>
          <w:rFonts w:ascii="Calibri" w:hAnsi="Calibri"/>
          <w:color w:val="64748B"/>
          <w:sz w:val="18"/>
        </w:rPr>
        <w:t xml:space="preserve">  (1998 – 2005)</w:t>
      </w:r>
    </w:p>
    <w:p>
      <w:pPr>
        <w:pStyle w:val="ListBullet"/>
        <w:spacing w:before="0" w:after="120" w:line="283" w:lineRule="auto"/>
      </w:pPr>
      <w:r>
        <w:rPr>
          <w:rFonts w:ascii="Calibri" w:hAnsi="Calibri"/>
          <w:b/>
          <w:color w:val="0F172A"/>
          <w:sz w:val="19"/>
        </w:rPr>
        <w:t xml:space="preserve">Foundational Analytics &amp; Tracking: </w:t>
      </w:r>
      <w:r>
        <w:rPr>
          <w:rFonts w:ascii="Calibri" w:hAnsi="Calibri"/>
          <w:color w:val="334155"/>
          <w:sz w:val="19"/>
        </w:rPr>
        <w:t>Promoted through 3 successive roles from Data Controller to Senior Controller and Assistant Data Manager; managed data processing workflows, statistical tabulations, and long-term brand tracking studies.</w:t>
      </w:r>
    </w:p>
    <w:p>
      <w:pPr>
        <w:spacing w:before="160" w:after="8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EDUCATION &amp; ACADEMIC BACKGROUND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181"/>
      </w:tblGrid>
      <w:tr>
        <w:tc>
          <w:tcPr>
            <w:tcW w:type="dxa" w:w="10181"/>
            <w:tcMar>
              <w:top w:w="60" w:type="dxa"/>
              <w:bottom w:w="6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30" w:line="276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Bachelor Degree in Information Technology</w:t>
              <w:br/>
            </w:r>
            <w:r>
              <w:rPr>
                <w:rFonts w:ascii="Calibri" w:hAnsi="Calibri"/>
                <w:b/>
                <w:color w:val="B45309"/>
                <w:sz w:val="18"/>
              </w:rPr>
              <w:t>Gunadarma University (1993 – 1997)   •   Jakarta, Indonesia</w:t>
            </w:r>
          </w:p>
        </w:tc>
      </w:tr>
    </w:tbl>
    <w:p>
      <w:pPr>
        <w:spacing w:before="160" w:after="8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EXECUTIVE CERTIFICATIONS &amp; CONTINUOUS LEARNING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90"/>
        <w:gridCol w:w="5090"/>
      </w:tblGrid>
      <w:tr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30" w:line="276" w:lineRule="auto"/>
            </w:pPr>
            <w:r>
              <w:rPr>
                <w:rFonts w:ascii="Calibri" w:hAnsi="Calibri"/>
                <w:b/>
                <w:color w:val="0F172A"/>
                <w:sz w:val="19"/>
              </w:rPr>
              <w:t>🤖 AI &amp; Generative Technology</w:t>
              <w:br/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Coursiv AI: ChatGPT, Midjourney, Jasper (2025)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IDCAMP Indosat: Machine Learning Dev &amp; Python (2022)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Prompt Engineering &amp; AI Chatbot Architecture (2024)</w:t>
            </w:r>
          </w:p>
        </w:tc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30" w:line="276" w:lineRule="auto"/>
            </w:pPr>
            <w:r>
              <w:rPr>
                <w:rFonts w:ascii="Calibri" w:hAnsi="Calibri"/>
                <w:b/>
                <w:color w:val="0F172A"/>
                <w:sz w:val="19"/>
              </w:rPr>
              <w:t>📊 Data, BI &amp; Agile Management</w:t>
              <w:br/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Google Project Management &amp; Agile Specialization (2023)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Google BI Specialization &amp; Data Analytics with R (2023)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Refocus: SQL, Power BI, Advanced Python Analysis (2023)</w:t>
            </w:r>
          </w:p>
        </w:tc>
      </w:tr>
      <w:tr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30" w:line="276" w:lineRule="auto"/>
            </w:pPr>
            <w:r>
              <w:rPr>
                <w:rFonts w:ascii="Calibri" w:hAnsi="Calibri"/>
                <w:b/>
                <w:color w:val="0F172A"/>
                <w:sz w:val="19"/>
              </w:rPr>
              <w:t>🏛️ FinTech, RegTech &amp; Risk Governance</w:t>
              <w:br/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HKUST: FinTech Foundation &amp; Overview (2023)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HKUST: Security &amp; Regulation (RegTech) (2023)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HKUST: Risk Management &amp; Disruptive Innovation (2023)</w:t>
            </w:r>
          </w:p>
        </w:tc>
        <w:tc>
          <w:tcPr>
            <w:tcW w:type="dxa" w:w="5083"/>
            <w:tcMar>
              <w:top w:w="50" w:type="dxa"/>
              <w:bottom w:w="50" w:type="dxa"/>
              <w:left w:w="90" w:type="dxa"/>
              <w:right w:w="9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30" w:line="276" w:lineRule="auto"/>
            </w:pPr>
            <w:r>
              <w:rPr>
                <w:rFonts w:ascii="Calibri" w:hAnsi="Calibri"/>
                <w:b/>
                <w:color w:val="0F172A"/>
                <w:sz w:val="19"/>
              </w:rPr>
              <w:t>👥 Leadership &amp; People Development</w:t>
              <w:br/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Professional Coaching Certification (30 practice hrs - 2018)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Persuasive Communication Skills Masterclass (2017)</w:t>
            </w:r>
          </w:p>
          <w:p>
            <w:pPr>
              <w:spacing w:before="0" w:after="20" w:line="269" w:lineRule="auto"/>
            </w:pPr>
            <w:r>
              <w:rPr>
                <w:rFonts w:ascii="Calibri" w:hAnsi="Calibri"/>
                <w:color w:val="B45309"/>
                <w:sz w:val="16"/>
              </w:rPr>
              <w:t xml:space="preserve">• </w:t>
            </w:r>
            <w:r>
              <w:rPr>
                <w:rFonts w:ascii="Calibri" w:hAnsi="Calibri"/>
                <w:color w:val="475569"/>
                <w:sz w:val="17"/>
              </w:rPr>
              <w:t>Hosted 7 Life Coaching School Leadership Fellow (2018)</w:t>
            </w:r>
          </w:p>
        </w:tc>
      </w:tr>
    </w:tbl>
    <w:p>
      <w:pPr>
        <w:spacing w:before="160" w:after="80"/>
        <w:pBrd>
          <w:bottom w:val="single" w:sz="8" w:space="2" w:color="0F172A"/>
        </w:pBrd>
      </w:pPr>
      <w:r>
        <w:rPr>
          <w:rFonts w:ascii="Arial" w:hAnsi="Arial"/>
          <w:b/>
          <w:color w:val="0F172A"/>
          <w:sz w:val="21"/>
        </w:rPr>
        <w:t>EXECUTIVE BOARD REFERENCES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94"/>
        <w:gridCol w:w="3394"/>
        <w:gridCol w:w="3394"/>
      </w:tblGrid>
      <w:tr>
        <w:tc>
          <w:tcPr>
            <w:tcW w:type="dxa" w:w="3384"/>
            <w:tcMar>
              <w:top w:w="60" w:type="dxa"/>
              <w:bottom w:w="60" w:type="dxa"/>
              <w:left w:w="80" w:type="dxa"/>
              <w:right w:w="8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172A"/>
                <w:sz w:val="19"/>
              </w:rPr>
              <w:t>Suresh Subramanian</w:t>
              <w:br/>
            </w:r>
            <w:r>
              <w:rPr>
                <w:rFonts w:ascii="Calibri" w:hAnsi="Calibri"/>
                <w:b/>
                <w:color w:val="B45309"/>
                <w:sz w:val="17"/>
              </w:rPr>
              <w:t>Chief Executive Officer</w:t>
              <w:br/>
            </w:r>
            <w:r>
              <w:rPr>
                <w:rFonts w:ascii="Calibri" w:hAnsi="Calibri"/>
                <w:color w:val="64748B"/>
                <w:sz w:val="16"/>
              </w:rPr>
              <w:t>Kantar Indonesia (2019 – Present)</w:t>
            </w:r>
          </w:p>
        </w:tc>
        <w:tc>
          <w:tcPr>
            <w:tcW w:type="dxa" w:w="3384"/>
            <w:tcMar>
              <w:top w:w="60" w:type="dxa"/>
              <w:bottom w:w="60" w:type="dxa"/>
              <w:left w:w="80" w:type="dxa"/>
              <w:right w:w="8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172A"/>
                <w:sz w:val="19"/>
              </w:rPr>
              <w:t>Raghavan Srinivasan</w:t>
              <w:br/>
            </w:r>
            <w:r>
              <w:rPr>
                <w:rFonts w:ascii="Calibri" w:hAnsi="Calibri"/>
                <w:b/>
                <w:color w:val="B45309"/>
                <w:sz w:val="17"/>
              </w:rPr>
              <w:t>Chief Executive Officer</w:t>
              <w:br/>
            </w:r>
            <w:r>
              <w:rPr>
                <w:rFonts w:ascii="Calibri" w:hAnsi="Calibri"/>
                <w:color w:val="64748B"/>
                <w:sz w:val="16"/>
              </w:rPr>
              <w:t>Kantar Indonesia (2016 – 2019)</w:t>
            </w:r>
          </w:p>
        </w:tc>
        <w:tc>
          <w:tcPr>
            <w:tcW w:type="dxa" w:w="3384"/>
            <w:tcMar>
              <w:top w:w="60" w:type="dxa"/>
              <w:bottom w:w="60" w:type="dxa"/>
              <w:left w:w="80" w:type="dxa"/>
              <w:right w:w="80" w:type="dxa"/>
            </w:tcMar>
            <w:shd w:val="clear" w:color="auto" w:fill="FFFFFF"/>
            <w:tcBorders>
              <w:top w:val="single" w:sz="4" w:space="0" w:color="CBD5E1"/>
              <w:left w:val="single" w:sz="4" w:space="0" w:color="CBD5E1"/>
              <w:bottom w:val="single" w:sz="4" w:space="0" w:color="CBD5E1"/>
              <w:right w:val="single" w:sz="4" w:space="0" w:color="CBD5E1"/>
            </w:tcBorders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F172A"/>
                <w:sz w:val="19"/>
              </w:rPr>
              <w:t>Monik Nurul Afiah</w:t>
              <w:br/>
            </w:r>
            <w:r>
              <w:rPr>
                <w:rFonts w:ascii="Calibri" w:hAnsi="Calibri"/>
                <w:b/>
                <w:color w:val="B45309"/>
                <w:sz w:val="17"/>
              </w:rPr>
              <w:t>Senior Vice President HR</w:t>
              <w:br/>
            </w:r>
            <w:r>
              <w:rPr>
                <w:rFonts w:ascii="Calibri" w:hAnsi="Calibri"/>
                <w:color w:val="64748B"/>
                <w:sz w:val="16"/>
              </w:rPr>
              <w:t>SCM Group / ex-Head HR TNS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94A3B8"/>
        <w:sz w:val="17"/>
      </w:rPr>
      <w:t>Desiree Hellene — Executive Curriculum 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6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mailto:desireehellene@gmail.com" TargetMode="External"/><Relationship Id="rId12" Type="http://schemas.openxmlformats.org/officeDocument/2006/relationships/hyperlink" Target="https://desireehellene.com" TargetMode="External"/><Relationship Id="rId13" Type="http://schemas.openxmlformats.org/officeDocument/2006/relationships/hyperlink" Target="https://linkedin.com/in/desiree-hell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